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87BE4" w14:textId="01D95D01" w:rsidR="00365DDE" w:rsidRDefault="00A75F89" w:rsidP="00365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6CF1">
        <w:fldChar w:fldCharType="begin"/>
      </w:r>
      <w:r w:rsidR="00586CF1">
        <w:instrText xml:space="preserve"> DOCPROPERTY  TSG/WGRef  \* MERGEFORMAT </w:instrText>
      </w:r>
      <w:r w:rsidR="00586CF1">
        <w:fldChar w:fldCharType="separate"/>
      </w:r>
      <w:r>
        <w:rPr>
          <w:b/>
          <w:noProof/>
          <w:sz w:val="24"/>
        </w:rPr>
        <w:t>RAN4</w:t>
      </w:r>
      <w:r w:rsidR="00586CF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86CF1">
        <w:fldChar w:fldCharType="begin"/>
      </w:r>
      <w:r w:rsidR="00586CF1">
        <w:instrText xml:space="preserve"> DOCPROPERTY  MtgSeq  \* MERGEFORMAT </w:instrText>
      </w:r>
      <w:r w:rsidR="00586CF1">
        <w:fldChar w:fldCharType="separate"/>
      </w:r>
      <w:r w:rsidRPr="00EB09B7">
        <w:rPr>
          <w:b/>
          <w:noProof/>
          <w:sz w:val="24"/>
        </w:rPr>
        <w:t>94</w:t>
      </w:r>
      <w:r w:rsidR="00586CF1">
        <w:rPr>
          <w:b/>
          <w:noProof/>
          <w:sz w:val="24"/>
        </w:rPr>
        <w:fldChar w:fldCharType="end"/>
      </w:r>
      <w:r w:rsidR="00586CF1">
        <w:fldChar w:fldCharType="begin"/>
      </w:r>
      <w:r w:rsidR="00586CF1">
        <w:instrText xml:space="preserve"> DOCPROPERTY  MtgTitle  \* MERGEFORMAT </w:instrText>
      </w:r>
      <w:r w:rsidR="00586CF1">
        <w:fldChar w:fldCharType="separate"/>
      </w:r>
      <w:r>
        <w:rPr>
          <w:b/>
          <w:noProof/>
          <w:sz w:val="24"/>
        </w:rPr>
        <w:t>-e</w:t>
      </w:r>
      <w:r w:rsidR="00586CF1">
        <w:rPr>
          <w:b/>
          <w:noProof/>
          <w:sz w:val="24"/>
        </w:rPr>
        <w:fldChar w:fldCharType="end"/>
      </w:r>
      <w:r w:rsidR="00365DDE">
        <w:rPr>
          <w:b/>
          <w:i/>
          <w:noProof/>
          <w:sz w:val="28"/>
        </w:rPr>
        <w:tab/>
      </w:r>
      <w:r w:rsidR="008C6913" w:rsidRPr="008C6913">
        <w:rPr>
          <w:b/>
          <w:noProof/>
          <w:sz w:val="24"/>
        </w:rPr>
        <w:t>R4-2000782</w:t>
      </w:r>
    </w:p>
    <w:p w14:paraId="731457FC" w14:textId="77777777" w:rsidR="00A75F89" w:rsidRDefault="00586CF1" w:rsidP="00A75F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75F8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75F89">
        <w:rPr>
          <w:b/>
          <w:noProof/>
          <w:sz w:val="24"/>
        </w:rPr>
        <w:t xml:space="preserve">, </w:t>
      </w:r>
      <w:r w:rsidR="00A75F89">
        <w:fldChar w:fldCharType="begin"/>
      </w:r>
      <w:r w:rsidR="00A75F89">
        <w:instrText xml:space="preserve"> DOCPROPERTY  Country  \* MERGEFORMAT </w:instrText>
      </w:r>
      <w:r w:rsidR="00A75F89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75F89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A75F8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75F89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2324D215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0600B6" w:rsidRPr="000600B6">
        <w:t>LS on secondary DRX group for FR1+FR2 CA</w:t>
      </w:r>
    </w:p>
    <w:p w14:paraId="3D3F8198" w14:textId="787D4E65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  <w:r w:rsidR="000600B6" w:rsidRPr="00494761">
        <w:rPr>
          <w:bCs/>
        </w:rPr>
        <w:t>R2-1916597</w:t>
      </w: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0F2727AF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0600B6">
        <w:t>TEI-16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CED191" w14:textId="6F6FC33F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 xml:space="preserve">RAN WG </w:t>
      </w:r>
      <w:proofErr w:type="gramStart"/>
      <w:r w:rsidR="00365DDE">
        <w:rPr>
          <w:bCs/>
        </w:rPr>
        <w:t>2</w:t>
      </w:r>
      <w:r w:rsidR="000600B6">
        <w:rPr>
          <w:bCs/>
        </w:rPr>
        <w:t xml:space="preserve">, </w:t>
      </w:r>
      <w:r w:rsidR="000600B6" w:rsidRPr="000600B6">
        <w:rPr>
          <w:bCs/>
        </w:rPr>
        <w:t xml:space="preserve"> </w:t>
      </w:r>
      <w:r w:rsidR="000600B6" w:rsidRPr="00BC1B9F">
        <w:rPr>
          <w:bCs/>
        </w:rPr>
        <w:t>RAN</w:t>
      </w:r>
      <w:proofErr w:type="gramEnd"/>
      <w:r w:rsidR="000600B6" w:rsidRPr="00BC1B9F">
        <w:rPr>
          <w:bCs/>
        </w:rPr>
        <w:t xml:space="preserve"> WG </w:t>
      </w:r>
      <w:r w:rsidR="000600B6">
        <w:rPr>
          <w:bCs/>
        </w:rPr>
        <w:t>1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proofErr w:type="spellStart"/>
      <w:r w:rsidR="00DA4F05" w:rsidRPr="00BC1B9F">
        <w:rPr>
          <w:b/>
        </w:rPr>
        <w:t>Jie</w:t>
      </w:r>
      <w:proofErr w:type="spellEnd"/>
      <w:r w:rsidR="00DA4F05" w:rsidRPr="00BC1B9F">
        <w:rPr>
          <w:b/>
        </w:rPr>
        <w:t xml:space="preserve">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5D482ADF" w14:textId="7EADB180" w:rsidR="005E6C95" w:rsidRPr="00BC1B9F" w:rsidRDefault="005E6C95" w:rsidP="005E6C95">
      <w:pPr>
        <w:jc w:val="both"/>
      </w:pPr>
      <w:r w:rsidRPr="00BC1B9F">
        <w:t xml:space="preserve">RAN4 </w:t>
      </w:r>
      <w:r w:rsidR="00365DDE">
        <w:t xml:space="preserve">has discussion on </w:t>
      </w:r>
      <w:r w:rsidR="000600B6">
        <w:rPr>
          <w:lang w:val="en-US" w:eastAsia="zh-CN"/>
        </w:rPr>
        <w:t>the requirement impact by introducing this second DRX group for FR2 CC when UE is working on FR1+FR2 CA</w:t>
      </w:r>
      <w:r w:rsidR="00365DDE">
        <w:t>,</w:t>
      </w:r>
      <w:r w:rsidR="000600B6">
        <w:t xml:space="preserve"> and following conclusions are achieved.</w:t>
      </w:r>
    </w:p>
    <w:p w14:paraId="6D28F5F3" w14:textId="0761B0A5" w:rsidR="000600B6" w:rsidRPr="000600B6" w:rsidRDefault="000600B6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 w:rsidRPr="000600B6">
        <w:rPr>
          <w:rFonts w:ascii="Times New Roman" w:hAnsi="Times New Roman"/>
          <w:sz w:val="20"/>
          <w:szCs w:val="20"/>
        </w:rPr>
        <w:t xml:space="preserve">Second DRX group on FR2 CC will not impact any identification/measurement related requirements in DRX status for RAN4, e.g., cell identification on SCC, cell measurement on SCC, deactivated </w:t>
      </w:r>
      <w:proofErr w:type="spellStart"/>
      <w:r w:rsidRPr="000600B6">
        <w:rPr>
          <w:rFonts w:ascii="Times New Roman" w:hAnsi="Times New Roman"/>
          <w:sz w:val="20"/>
          <w:szCs w:val="20"/>
        </w:rPr>
        <w:t>SCell</w:t>
      </w:r>
      <w:proofErr w:type="spellEnd"/>
      <w:r w:rsidRPr="000600B6">
        <w:rPr>
          <w:rFonts w:ascii="Times New Roman" w:hAnsi="Times New Roman"/>
          <w:sz w:val="20"/>
          <w:szCs w:val="20"/>
        </w:rPr>
        <w:t xml:space="preserve"> measurement and so on.</w:t>
      </w:r>
    </w:p>
    <w:p w14:paraId="577058D2" w14:textId="49C264E9" w:rsidR="000600B6" w:rsidRPr="000600B6" w:rsidRDefault="000600B6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 w:rsidRPr="000600B6">
        <w:rPr>
          <w:rFonts w:ascii="Times New Roman" w:hAnsi="Times New Roman"/>
          <w:sz w:val="20"/>
          <w:szCs w:val="20"/>
        </w:rPr>
        <w:t>No interruption at transitions between active and non-active during DRX is allowed if dual DRX are configured for FR1+FR2 CA.</w:t>
      </w:r>
    </w:p>
    <w:p w14:paraId="1FF7E599" w14:textId="4F8F937D" w:rsidR="0031702F" w:rsidRDefault="000600B6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 w:rsidRPr="000600B6">
        <w:rPr>
          <w:rFonts w:ascii="Times New Roman" w:hAnsi="Times New Roman"/>
          <w:sz w:val="20"/>
          <w:szCs w:val="20"/>
        </w:rPr>
        <w:t>To serve power saving purpose, the secondary DRX group on FR2 CC for FR1 + FR2 CA is only supportable to the UE with per-FR MG capability, and no new interruption requirement will be introduced in RAN4.</w:t>
      </w:r>
    </w:p>
    <w:p w14:paraId="5219FA13" w14:textId="77777777" w:rsidR="000600B6" w:rsidRPr="000600B6" w:rsidRDefault="000600B6" w:rsidP="000600B6">
      <w:pPr>
        <w:pStyle w:val="ListParagraph"/>
        <w:ind w:left="360"/>
        <w:jc w:val="both"/>
        <w:rPr>
          <w:rFonts w:ascii="Times New Roman" w:hAnsi="Times New Roman"/>
          <w:sz w:val="20"/>
          <w:szCs w:val="20"/>
        </w:rPr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3E93D85E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>To RAN WG</w:t>
      </w:r>
      <w:r w:rsidR="0031702F">
        <w:rPr>
          <w:b/>
        </w:rPr>
        <w:t>1</w:t>
      </w:r>
      <w:r w:rsidRPr="00BC1B9F">
        <w:rPr>
          <w:b/>
        </w:rPr>
        <w:t xml:space="preserve"> </w:t>
      </w:r>
      <w:r w:rsidR="00365DDE">
        <w:rPr>
          <w:b/>
        </w:rPr>
        <w:t xml:space="preserve">and WG2 </w:t>
      </w:r>
      <w:r w:rsidRPr="00BC1B9F">
        <w:rPr>
          <w:b/>
        </w:rPr>
        <w:t>group.</w:t>
      </w:r>
    </w:p>
    <w:p w14:paraId="3E007D9B" w14:textId="34259D63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Pr="00BC1B9F">
        <w:t>RAN4 kindly asks RAN</w:t>
      </w:r>
      <w:r w:rsidR="0031702F">
        <w:t>1</w:t>
      </w:r>
      <w:r w:rsidR="00365DDE">
        <w:t xml:space="preserve"> and RAN2</w:t>
      </w:r>
      <w:r w:rsidRPr="00BC1B9F">
        <w:t xml:space="preserve"> to </w:t>
      </w:r>
      <w:r w:rsidR="00322830" w:rsidRPr="00BC1B9F">
        <w:t>take the above information into account</w:t>
      </w:r>
      <w:r w:rsidR="0067531F" w:rsidRPr="00BC1B9F">
        <w:t xml:space="preserve"> in their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6D94062B" w14:textId="15D4BEA3" w:rsidR="0031702F" w:rsidRDefault="0031702F" w:rsidP="0031702F">
      <w:pPr>
        <w:tabs>
          <w:tab w:val="left" w:pos="5103"/>
        </w:tabs>
        <w:ind w:left="2268" w:hanging="2268"/>
      </w:pPr>
      <w:r w:rsidRPr="00BC1B9F">
        <w:t>TSG-RAN4 #94</w:t>
      </w:r>
      <w:r>
        <w:t>bis</w:t>
      </w:r>
      <w:r w:rsidRPr="00BC1B9F">
        <w:tab/>
      </w:r>
      <w:r w:rsidRPr="00BC1B9F">
        <w:tab/>
      </w:r>
      <w:r w:rsidRPr="00BC1B9F">
        <w:tab/>
        <w:t>2</w:t>
      </w:r>
      <w:r>
        <w:t>0</w:t>
      </w:r>
      <w:r w:rsidRPr="00BC1B9F">
        <w:rPr>
          <w:vertAlign w:val="superscript"/>
        </w:rPr>
        <w:t>th</w:t>
      </w:r>
      <w:r w:rsidRPr="00BC1B9F">
        <w:t xml:space="preserve"> </w:t>
      </w:r>
      <w:r w:rsidR="00365DDE">
        <w:t>-</w:t>
      </w:r>
      <w:r w:rsidRPr="00BC1B9F">
        <w:t xml:space="preserve"> 2</w:t>
      </w:r>
      <w:r>
        <w:t>4</w:t>
      </w:r>
      <w:r w:rsidRPr="00BC1B9F">
        <w:rPr>
          <w:vertAlign w:val="superscript"/>
        </w:rPr>
        <w:t>th</w:t>
      </w:r>
      <w:r w:rsidRPr="00BC1B9F">
        <w:t xml:space="preserve"> </w:t>
      </w:r>
      <w:r>
        <w:t>Apr</w:t>
      </w:r>
      <w:r w:rsidRPr="00BC1B9F">
        <w:t xml:space="preserve"> 2020 </w:t>
      </w:r>
      <w:r>
        <w:tab/>
      </w:r>
      <w:r>
        <w:tab/>
      </w:r>
      <w:r w:rsidR="00CA7C99">
        <w:t>Canada</w:t>
      </w:r>
    </w:p>
    <w:p w14:paraId="3218B10E" w14:textId="25434921" w:rsidR="00365DDE" w:rsidRPr="00BC1B9F" w:rsidRDefault="00365DDE" w:rsidP="0031702F">
      <w:pPr>
        <w:tabs>
          <w:tab w:val="left" w:pos="5103"/>
        </w:tabs>
        <w:ind w:left="2268" w:hanging="2268"/>
      </w:pPr>
      <w:r>
        <w:t>TSG-RAN4 #95</w:t>
      </w:r>
      <w:r>
        <w:tab/>
      </w:r>
      <w:r>
        <w:tab/>
        <w:t xml:space="preserve">  25</w:t>
      </w:r>
      <w:r w:rsidRPr="00365DDE">
        <w:rPr>
          <w:vertAlign w:val="superscript"/>
        </w:rPr>
        <w:t>th</w:t>
      </w:r>
      <w:r>
        <w:t xml:space="preserve"> - 29</w:t>
      </w:r>
      <w:r w:rsidRPr="00365DDE">
        <w:rPr>
          <w:vertAlign w:val="superscript"/>
        </w:rPr>
        <w:t>th</w:t>
      </w:r>
      <w:r>
        <w:t xml:space="preserve"> May 2020</w:t>
      </w:r>
      <w:r>
        <w:tab/>
      </w:r>
      <w:r>
        <w:tab/>
      </w:r>
      <w:r w:rsidR="00CA7C99">
        <w:t>Athens, Greece</w:t>
      </w:r>
      <w:bookmarkStart w:id="0" w:name="_GoBack"/>
      <w:bookmarkEnd w:id="0"/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C0360" w14:textId="77777777" w:rsidR="00586CF1" w:rsidRDefault="00586CF1">
      <w:r>
        <w:separator/>
      </w:r>
    </w:p>
  </w:endnote>
  <w:endnote w:type="continuationSeparator" w:id="0">
    <w:p w14:paraId="175CB1F1" w14:textId="77777777" w:rsidR="00586CF1" w:rsidRDefault="00586CF1">
      <w:r>
        <w:continuationSeparator/>
      </w:r>
    </w:p>
  </w:endnote>
  <w:endnote w:type="continuationNotice" w:id="1">
    <w:p w14:paraId="12DEA637" w14:textId="77777777" w:rsidR="00586CF1" w:rsidRDefault="00586CF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55F34" w14:textId="77777777" w:rsidR="00586CF1" w:rsidRDefault="00586CF1">
      <w:r>
        <w:separator/>
      </w:r>
    </w:p>
  </w:footnote>
  <w:footnote w:type="continuationSeparator" w:id="0">
    <w:p w14:paraId="10D195C0" w14:textId="77777777" w:rsidR="00586CF1" w:rsidRDefault="00586CF1">
      <w:r>
        <w:continuationSeparator/>
      </w:r>
    </w:p>
  </w:footnote>
  <w:footnote w:type="continuationNotice" w:id="1">
    <w:p w14:paraId="3B0A7BFC" w14:textId="77777777" w:rsidR="00586CF1" w:rsidRDefault="00586CF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Jerry Cui</cp:lastModifiedBy>
  <cp:revision>4</cp:revision>
  <cp:lastPrinted>2016-11-03T02:40:00Z</cp:lastPrinted>
  <dcterms:created xsi:type="dcterms:W3CDTF">2020-02-13T22:03:00Z</dcterms:created>
  <dcterms:modified xsi:type="dcterms:W3CDTF">2020-02-14T02:16:00Z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